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6" w:rsidRDefault="007C3D9A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C3D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Парадный Петербург (осень) </w:t>
      </w:r>
      <w:r w:rsidRPr="007C3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</w:t>
      </w:r>
      <w:r w:rsidRPr="00566A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7C3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ночи</w:t>
      </w:r>
    </w:p>
    <w:p w:rsidR="007C3D9A" w:rsidRPr="004B1F4D" w:rsidRDefault="007C3D9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D43160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D43160">
        <w:rPr>
          <w:rFonts w:ascii="Arial" w:hAnsi="Arial" w:cs="Arial"/>
          <w:b/>
          <w:sz w:val="24"/>
          <w:szCs w:val="24"/>
        </w:rPr>
        <w:t>Санкт-Петербург</w:t>
      </w:r>
      <w:r w:rsidR="007B3786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 </w:t>
      </w:r>
      <w:r w:rsidR="00D43160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D43160" w:rsidRPr="00D43160">
        <w:rPr>
          <w:rFonts w:ascii="Arial" w:hAnsi="Arial" w:cs="Arial"/>
          <w:b/>
          <w:sz w:val="24"/>
          <w:szCs w:val="24"/>
        </w:rPr>
        <w:t>Большой императорский дворец</w:t>
      </w:r>
      <w:r w:rsidR="00D43160">
        <w:rPr>
          <w:rFonts w:ascii="Arial" w:hAnsi="Arial" w:cs="Arial"/>
          <w:b/>
          <w:sz w:val="24"/>
          <w:szCs w:val="24"/>
        </w:rPr>
        <w:t xml:space="preserve"> </w:t>
      </w:r>
      <w:r w:rsidR="00D43160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D431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Царское Село </w:t>
      </w:r>
      <w:r w:rsidR="00C014DD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D431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Екатерининский дворец </w:t>
      </w:r>
      <w:r w:rsidR="00C014DD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3786" w:rsidRPr="00D431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Янтарная комната </w:t>
      </w:r>
      <w:r w:rsidR="007B3786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7B3786" w:rsidRPr="00D43160">
        <w:rPr>
          <w:rFonts w:ascii="Arial" w:hAnsi="Arial" w:cs="Arial"/>
          <w:b/>
          <w:sz w:val="24"/>
          <w:szCs w:val="24"/>
        </w:rPr>
        <w:t>Эрмитаж</w:t>
      </w:r>
      <w:r w:rsidR="007B3786" w:rsidRPr="00D43160">
        <w:rPr>
          <w:rFonts w:ascii="Arial" w:hAnsi="Arial" w:cs="Arial"/>
          <w:sz w:val="24"/>
          <w:szCs w:val="24"/>
        </w:rPr>
        <w:t xml:space="preserve"> </w:t>
      </w:r>
      <w:r w:rsidR="00467AE2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D4316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2463" w:rsidRP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заезда: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Завтрак "шведский стол" или континентальный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предоставляется во все дни, кроме дня заезда и в зависимости от выбранного отеля.</w:t>
            </w:r>
          </w:p>
          <w:p w:rsidR="00F049C3" w:rsidRPr="006E2463" w:rsidRDefault="00F049C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E2463" w:rsidRPr="007B3786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7B3786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6E2463">
              <w:rPr>
                <w:rFonts w:ascii="Arial" w:hAnsi="Arial" w:cs="Arial"/>
                <w:b/>
                <w:color w:val="171717"/>
                <w:sz w:val="18"/>
                <w:szCs w:val="18"/>
              </w:rPr>
              <w:t xml:space="preserve">ежедневно 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с табличкой «Парадный Петербург».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66A92" w:rsidRPr="00D43160" w:rsidRDefault="00566A92" w:rsidP="00D431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3160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D43160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"Парадный Петербург"</w:t>
            </w:r>
          </w:p>
          <w:p w:rsidR="00566A92" w:rsidRPr="00D43160" w:rsidRDefault="00566A92" w:rsidP="00D431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Pr="00D43160" w:rsidRDefault="00566A92" w:rsidP="00D431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160">
              <w:rPr>
                <w:rFonts w:ascii="Arial" w:hAnsi="Arial" w:cs="Arial"/>
                <w:b/>
                <w:sz w:val="18"/>
                <w:szCs w:val="18"/>
              </w:rPr>
              <w:t>Загородная экскурсия в «Столица дворцов и фонтанов в Петергоф».</w:t>
            </w:r>
            <w:r w:rsidR="00D43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160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D43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160">
              <w:rPr>
                <w:rFonts w:ascii="Arial" w:hAnsi="Arial" w:cs="Arial"/>
                <w:b/>
                <w:sz w:val="18"/>
                <w:szCs w:val="18"/>
              </w:rPr>
              <w:t>Большой императорский дворец</w:t>
            </w:r>
            <w:r w:rsidRPr="00D43160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4316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 </w:t>
            </w:r>
          </w:p>
          <w:p w:rsidR="00566A92" w:rsidRPr="00D43160" w:rsidRDefault="00566A92" w:rsidP="00D431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Default="00566A92" w:rsidP="00D43160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43160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D43160" w:rsidRPr="00D43160" w:rsidRDefault="00D43160" w:rsidP="00D43160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566A92" w:rsidP="00D431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160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16:00-17:00 у гостиницы Октябрьская</w:t>
            </w:r>
            <w:r w:rsidR="00D4316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43160" w:rsidRPr="009C035D" w:rsidRDefault="00D43160" w:rsidP="00D431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566A92">
        <w:trPr>
          <w:trHeight w:val="274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sz w:val="18"/>
                <w:szCs w:val="18"/>
              </w:rPr>
              <w:t>Свободный день без транспортного и экскурсионного обслуживания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66A92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="00D43160" w:rsidRPr="00566A92">
              <w:rPr>
                <w:rFonts w:ascii="Arial" w:hAnsi="Arial" w:cs="Arial"/>
                <w:i/>
                <w:sz w:val="18"/>
                <w:szCs w:val="18"/>
              </w:rPr>
              <w:t>ДОП.ПЛАТУ:</w:t>
            </w:r>
          </w:p>
          <w:p w:rsidR="00566A92" w:rsidRPr="00566A92" w:rsidRDefault="00566A92" w:rsidP="00566A9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44" w:hanging="284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Авторская тематическая экскурсия Петровский Петербург - 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Экскурсия о том, как зарождался Санкт-Петербург, о том, каким хотел видеть свой «Парадиз» Петр 1, о том, как город стал столицей Российской империи. 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66A92" w:rsidRPr="00566A92" w:rsidRDefault="00566A92" w:rsidP="00566A9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44" w:hanging="284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Петропавловской крепости «Здесь будет город заложен» с посещением Собора и Тюрьмы. 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Петропавловская крепость 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      </w:r>
            <w:proofErr w:type="spellStart"/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Оснера</w:t>
            </w:r>
            <w:proofErr w:type="spellEnd"/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Ботный</w:t>
            </w:r>
            <w:proofErr w:type="spellEnd"/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 здание Монетного двора; Инженерный дом, Комендантский дом. В центре ансамбля расположен Петропавловский собор.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Транспорт предоставляется до Петропавловской крепости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Pr="00566A92" w:rsidRDefault="00D43160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  <w:r w:rsidR="00566A92" w:rsidRPr="00566A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sz w:val="18"/>
                <w:szCs w:val="18"/>
              </w:rPr>
              <w:t>Взрослый 1</w:t>
            </w:r>
            <w:r w:rsidRPr="00566A92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  <w:r w:rsidRPr="00566A92">
              <w:rPr>
                <w:rFonts w:ascii="Arial" w:hAnsi="Arial" w:cs="Arial"/>
                <w:sz w:val="18"/>
                <w:szCs w:val="18"/>
              </w:rPr>
              <w:t>0 рублей</w:t>
            </w:r>
          </w:p>
          <w:p w:rsidR="00566A92" w:rsidRPr="00566A92" w:rsidRDefault="00D43160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sz w:val="18"/>
                <w:szCs w:val="18"/>
              </w:rPr>
              <w:t>Детский (</w:t>
            </w:r>
            <w:r w:rsidR="00566A92" w:rsidRPr="00566A92">
              <w:rPr>
                <w:rFonts w:ascii="Arial" w:hAnsi="Arial" w:cs="Arial"/>
                <w:sz w:val="18"/>
                <w:szCs w:val="18"/>
              </w:rPr>
              <w:t xml:space="preserve">3-14 лет) </w:t>
            </w:r>
            <w:r w:rsidRPr="00566A92">
              <w:rPr>
                <w:rFonts w:ascii="Arial" w:hAnsi="Arial" w:cs="Arial"/>
                <w:sz w:val="18"/>
                <w:szCs w:val="18"/>
              </w:rPr>
              <w:t>1</w:t>
            </w:r>
            <w:r w:rsidRPr="00566A92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  <w:r w:rsidRPr="00566A92">
              <w:rPr>
                <w:rFonts w:ascii="Arial" w:hAnsi="Arial" w:cs="Arial"/>
                <w:sz w:val="18"/>
                <w:szCs w:val="18"/>
              </w:rPr>
              <w:t>0 рублей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i/>
                <w:sz w:val="18"/>
                <w:szCs w:val="18"/>
              </w:rPr>
              <w:t>(Цены НЕТТО, бронируется и оплачивается при заказе тура. Приобрести экскурсию можно у гида при наличии свободных мест)</w:t>
            </w:r>
          </w:p>
          <w:p w:rsidR="00566A92" w:rsidRPr="00D43160" w:rsidRDefault="00566A92" w:rsidP="00D431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до Петропавловской крепости. </w:t>
            </w:r>
          </w:p>
          <w:p w:rsidR="00D43160" w:rsidRPr="00566A92" w:rsidRDefault="00D43160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окончание 17:00-18:00 в Петропавловской крепости.</w:t>
            </w:r>
          </w:p>
          <w:p w:rsidR="009B58BF" w:rsidRPr="00D71C92" w:rsidRDefault="009B58BF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A92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66A92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566A92" w:rsidRPr="00566A92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парадную резиденцию императорской семьи - Царское Село - 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экскурсия по трассе «Царская дорога». </w:t>
            </w:r>
            <w:r w:rsidRPr="00D43160">
              <w:rPr>
                <w:rFonts w:ascii="Arial" w:hAnsi="Arial" w:cs="Arial"/>
                <w:b/>
                <w:sz w:val="18"/>
                <w:szCs w:val="18"/>
              </w:rPr>
              <w:t>Экскурсия в Екатерининский дворец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 «Парадная анфилада дворцовых интерьеров», осмотр </w:t>
            </w:r>
            <w:r w:rsidRPr="00D43160">
              <w:rPr>
                <w:rFonts w:ascii="Arial" w:hAnsi="Arial" w:cs="Arial"/>
                <w:b/>
                <w:sz w:val="18"/>
                <w:szCs w:val="18"/>
              </w:rPr>
              <w:t>Янтарной комнаты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 – восьмого чуда света.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Default="00566A92" w:rsidP="00566A92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Pr="00566A92" w:rsidRDefault="00566A92" w:rsidP="00566A92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16:00-17:00 у гостиницы Октябрьская.</w:t>
            </w:r>
          </w:p>
          <w:p w:rsidR="00566A92" w:rsidRPr="007B3786" w:rsidRDefault="00566A92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A92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566A92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566A92" w:rsidRDefault="00566A9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6A92" w:rsidRDefault="00566A92" w:rsidP="00566A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F049C3">
              <w:rPr>
                <w:rStyle w:val="aa"/>
                <w:rFonts w:ascii="Arial" w:hAnsi="Arial" w:cs="Arial"/>
                <w:color w:val="FF0000"/>
                <w:sz w:val="18"/>
                <w:szCs w:val="18"/>
              </w:rPr>
              <w:t>В день выезда:</w:t>
            </w:r>
            <w:r w:rsidRPr="00F049C3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туристы освобождают номер до 12-00 дня и сдают вещи в камеру хранения на вокзале или в гостинице 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</w:rPr>
              <w:t>.</w:t>
            </w:r>
          </w:p>
          <w:p w:rsidR="00566A92" w:rsidRDefault="00566A92" w:rsidP="00566A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</w:p>
          <w:p w:rsidR="00566A92" w:rsidRPr="00566A92" w:rsidRDefault="00566A92" w:rsidP="00566A92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парадному центру «Блистательная столица» - 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Обзорная </w:t>
            </w:r>
            <w:r w:rsidR="00D43160" w:rsidRPr="00566A92">
              <w:rPr>
                <w:rFonts w:ascii="Arial" w:hAnsi="Arial" w:cs="Arial"/>
                <w:sz w:val="18"/>
                <w:szCs w:val="18"/>
              </w:rPr>
              <w:t>экскурсия «</w:t>
            </w:r>
            <w:r w:rsidRPr="00566A92">
              <w:rPr>
                <w:rFonts w:ascii="Arial" w:hAnsi="Arial" w:cs="Arial"/>
                <w:sz w:val="18"/>
                <w:szCs w:val="18"/>
              </w:rPr>
              <w:t>Блистательная столица»</w:t>
            </w: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дает общее представление о </w:t>
            </w:r>
            <w:r w:rsidR="00D43160"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городе.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Маршрут построен таким образом, что за относительно короткое время Вы увидите весь парадный центр Петербурга и ос</w:t>
            </w:r>
            <w:r w:rsidR="00D43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новные достопримечательности: </w:t>
            </w:r>
            <w:r w:rsidRPr="00566A92">
              <w:rPr>
                <w:rFonts w:ascii="Arial" w:hAnsi="Arial" w:cs="Arial"/>
                <w:sz w:val="18"/>
                <w:szCs w:val="18"/>
              </w:rPr>
              <w:t>стрелка Васильевского острова, сфинксы, Анфилада парадных площадей, Медный всадник. Вы узнаете основные сведения о самых известных петербургских зданиях, памятниках, улицах и площадях, садах и парках, о главных событиях из жизни Петербурга.</w:t>
            </w:r>
            <w:r w:rsidRPr="00566A92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  <w:r w:rsidRPr="00566A92">
              <w:rPr>
                <w:rFonts w:ascii="Arial" w:hAnsi="Arial" w:cs="Arial"/>
                <w:sz w:val="18"/>
                <w:szCs w:val="18"/>
              </w:rPr>
              <w:t xml:space="preserve"> – крупнейшую сокровищницу мирового искусства.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Государственный</w:t>
            </w:r>
            <w:r w:rsidRPr="00566A92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566A92">
              <w:rPr>
                <w:rFonts w:ascii="Arial" w:hAnsi="Arial" w:cs="Arial"/>
                <w:sz w:val="18"/>
                <w:szCs w:val="18"/>
              </w:rPr>
              <w:t>Эрмитаж</w:t>
            </w:r>
            <w:r w:rsidRPr="00566A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      </w:r>
          </w:p>
          <w:p w:rsidR="00566A92" w:rsidRPr="00566A92" w:rsidRDefault="00566A92" w:rsidP="00566A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6A92" w:rsidRPr="00566A92" w:rsidRDefault="00566A92" w:rsidP="00566A9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66A92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15:00-16:00 у Эрмитажа.</w:t>
            </w:r>
          </w:p>
          <w:p w:rsidR="00566A92" w:rsidRPr="007B3786" w:rsidRDefault="00566A92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6E2463" w:rsidRPr="00940866" w:rsidRDefault="007949FA" w:rsidP="00940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9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 xml:space="preserve">и более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 w:rsidR="00940866" w:rsidRPr="009408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с момента подтверждения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40866" w:rsidRDefault="00940866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15 дней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866" w:rsidRDefault="00940866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B3786" w:rsidRPr="00F049C3" w:rsidRDefault="00940866" w:rsidP="00F04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СКИДКА НА РЕБЕНКА ДО 14 ЛЕТ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A92">
              <w:rPr>
                <w:rFonts w:ascii="Arial" w:hAnsi="Arial" w:cs="Arial"/>
                <w:b/>
                <w:sz w:val="18"/>
                <w:szCs w:val="18"/>
              </w:rPr>
              <w:t>– 1 5</w:t>
            </w:r>
            <w:r w:rsidRPr="007B378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B3786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7B378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</w:t>
            </w:r>
          </w:p>
          <w:p w:rsidR="00FE08EC" w:rsidRPr="008C0FC7" w:rsidRDefault="00FE08EC" w:rsidP="007B378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7F"/>
    <w:multiLevelType w:val="hybridMultilevel"/>
    <w:tmpl w:val="28C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7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70388"/>
    <w:rsid w:val="00295E24"/>
    <w:rsid w:val="002C7077"/>
    <w:rsid w:val="002E5B91"/>
    <w:rsid w:val="00330280"/>
    <w:rsid w:val="0034607E"/>
    <w:rsid w:val="003629C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66A92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E2463"/>
    <w:rsid w:val="006E690F"/>
    <w:rsid w:val="006E7BE4"/>
    <w:rsid w:val="006F2FA0"/>
    <w:rsid w:val="0071268A"/>
    <w:rsid w:val="00713EC1"/>
    <w:rsid w:val="00741A38"/>
    <w:rsid w:val="0077530A"/>
    <w:rsid w:val="007949FA"/>
    <w:rsid w:val="007B3786"/>
    <w:rsid w:val="007C3D9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40866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43160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049C3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8</cp:revision>
  <dcterms:created xsi:type="dcterms:W3CDTF">2025-08-22T13:59:00Z</dcterms:created>
  <dcterms:modified xsi:type="dcterms:W3CDTF">2025-08-26T09:46:00Z</dcterms:modified>
</cp:coreProperties>
</file>